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22 209 vom 2. April 2025</w:t>
      </w:r>
    </w:p>
    <w:p>
      <w:r>
        <w:t>BL Gerichte, 2025-04-02, DE</w:t>
      </w:r>
    </w:p>
    <w:p>
      <w:r>
        <w:rPr>
          <w:b/>
        </w:rPr>
        <w:t xml:space="preserve">Quelle: </w:t>
      </w:r>
      <w:r>
        <w:t>https://mcp.opencaselaw.ch/entscheid/bl_gerichte_810 22 209</w:t>
      </w:r>
    </w:p>
    <w:p>
      <w:r>
        <w:t>FR: BL_GERICHTE 810 22 209 du 2 avril 2025</w:t>
      </w:r>
    </w:p>
    <w:p>
      <w:r>
        <w:t>IT: BL_GERICHTE 810 22 209 del 2 aprile 2025</w:t>
      </w:r>
    </w:p>
    <w:p>
      <w:pPr>
        <w:pStyle w:val="Heading2"/>
      </w:pPr>
      <w:r>
        <w:t>Regeste</w:t>
      </w:r>
    </w:p>
    <w:p>
      <w:r>
        <w:t>Kontaktresp. Besuchsrecht des Kindsvaters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des Beschwerdeführers um Bewilligung der unentgeltlichen Rechtspflege wird abgewiesen.</w:t>
      </w:r>
    </w:p>
    <w:p>
      <w:r>
        <w:rPr>
          <w:b/>
        </w:rPr>
        <w:t>E. 3</w:t>
      </w:r>
    </w:p>
    <w:p>
      <w:r>
        <w:t>Die Verfahrenskosten in der Höhe von Fr. 1'500.-- werden dem Beschwerdeführer auferlegt.</w:t>
      </w:r>
    </w:p>
    <w:p>
      <w:r>
        <w:rPr>
          <w:b/>
        </w:rPr>
        <w:t>E. 4</w:t>
      </w:r>
    </w:p>
    <w:p>
      <w:r>
        <w:t>Der Beschwerdeführer hat der Beschwerdegegnerin eine Parteientschädigung in der Höhe von Fr. 2'879.50 (inkl. Auslagen und 7.7 % resp. 8.1 % MWST) zu bezahlen. Im Übrigen werden die Parteikosten wettgeschlagen. Präsident Gerichtsschreiberin Gegen diesen Entscheid wurde am 5. Juni 2025 Beschwerde beim Bundesgericht (Verfahrens-nummer 5A_447/2025)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